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4"/>
          <w:szCs w:val="24"/>
        </w:rPr>
        <w:t>外语学院专业技术六级岗位任职条件</w:t>
      </w:r>
    </w:p>
    <w:tbl>
      <w:tblPr>
        <w:tblStyle w:val="5"/>
        <w:tblpPr w:leftFromText="180" w:rightFromText="180" w:vertAnchor="page" w:horzAnchor="margin" w:tblpX="-1092" w:tblpY="2251"/>
        <w:tblW w:w="10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75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任七级岗位年限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1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岗位任职条件选项要求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年限≥2年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1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满足六级岗业绩备选条件中的2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个亚类条件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亚类</w:t>
            </w:r>
          </w:p>
        </w:tc>
        <w:tc>
          <w:tcPr>
            <w:tcW w:w="91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业绩备选条件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学术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贡献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社会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贡献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103" w:firstLineChars="49"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A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180" w:type="dxa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获厅局级人文社科三等奖及以上（排名不分先后）；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获校级教学成果一等奖及以上（排名不分先后）；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获校级及以上教学、教学管理、科研、科研管理类获奖；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受学校或学院安排，指导学生参加全国大学生科技、创业、艺术、专业竞赛活动，获国家级二等奖（或的前2名指导教师，三等奖的第1名指导教师；或受学校或学院安排，指导学生参加省大学生科技、创业、艺术、专业竞赛活动，获三等奖及以上的第1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9180" w:type="dxa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以第一作者或通讯作者在省级以上期刊发表学术论文≥1篇；或公开出版学术专著（含非国家级规划、全国统编、协编的教材，教学参考书）、译著（限语言类专业技术人员翻译的学术专著或世界名著）10万字以上≥1部（主译）；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公开出版国家级规划教材（本科层次及以上）≥1部（编委及以上）；或全国统编、协编教材（本科层次及以上）≥1部（编委及以上）；或公开出版自编教材（本科层次及以上）≥1部（主编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9180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主持厅局级及以上科研/教改项目≥1项；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主持校级重点教改/校基金重点课题1项；</w:t>
            </w:r>
          </w:p>
          <w:p>
            <w:pPr>
              <w:ind w:left="315" w:hanging="315" w:hangingChars="15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 校级及以上教学质量工程项目（教学团队、特色专业、实验教学示范中心、精品课程、核心通识课程、课程改革、专业改革、人才培养模式改革）负责人。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D</w:t>
            </w:r>
          </w:p>
        </w:tc>
        <w:tc>
          <w:tcPr>
            <w:tcW w:w="9180" w:type="dxa"/>
          </w:tcPr>
          <w:p>
            <w:pPr>
              <w:ind w:left="315" w:hanging="315" w:hangingChars="1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1. 受聘担任副高级专业技术职务10年以上，并积极参与科研、教改、教管、学科专业建设；</w:t>
            </w:r>
          </w:p>
          <w:p>
            <w:pPr>
              <w:ind w:left="315" w:hanging="315" w:hangingChars="15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2. 对社会发展和学校发展做出较大贡献。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学术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影响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及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社会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影响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>
            <w:pPr>
              <w:widowControl/>
              <w:ind w:firstLine="103" w:firstLineChars="49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A</w:t>
            </w:r>
          </w:p>
          <w:p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180" w:type="dxa"/>
          </w:tcPr>
          <w:p>
            <w:pPr>
              <w:pStyle w:val="8"/>
              <w:widowControl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教育部“新世纪优秀人才支持计划”入选者；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教育部优秀青年教师资助计划人选；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霍英东高等院校青年教师基金及青年教师奖获得者；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厅局级及以上有突出贡献的优秀专家；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厅局级及以上学术技术带头人及后备人选；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硕士生导师。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9180" w:type="dxa"/>
          </w:tcPr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获校级及以上表彰或荣誉称号；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全国一级学会及下设专业委员会委员及以上；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四川省一级学会/协会理事及以上；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四川省一级学会下设专业委员会常务委员及以上。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316" w:firstLineChars="150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9855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近3年年度考核结果为合格及以上；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专职教师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</w:rPr>
              <w:t>近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3年工作量达教研室平均工作量2/3以上；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任现职级近3年无教学违规和教学事故；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cs="宋体" w:asciiTheme="minorEastAsia" w:hAnsiTheme="min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“学术贡献”类，并校前出版的国家级规划（专科层次）教材（副主编及以上）视同符合该选项条件（以公开出版时间为准，截止至2007年8月31日止）；“核心期刊”以北京大学图书馆中文核心期刊目录为依据。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成果以任现级以来的计算；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“学术贡献及社会贡献”和“学影响及社会影响”条件选项，若符合同一亚类的，不重复累加，只计1项。若多次符合同一亚类中所列条件，不重复累加，只计1项；如同一项成果获得多次奖励，按最高级别奖励只计算一次。</w:t>
            </w:r>
          </w:p>
        </w:tc>
      </w:tr>
    </w:tbl>
    <w:p>
      <w:pPr>
        <w:rPr>
          <w:color w:val="000000" w:themeColor="text1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4C9"/>
    <w:multiLevelType w:val="multilevel"/>
    <w:tmpl w:val="1AB964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70839"/>
    <w:multiLevelType w:val="multilevel"/>
    <w:tmpl w:val="265708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3F2C74"/>
    <w:multiLevelType w:val="multilevel"/>
    <w:tmpl w:val="373F2C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358E5"/>
    <w:multiLevelType w:val="multilevel"/>
    <w:tmpl w:val="45E358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D3A53"/>
    <w:multiLevelType w:val="multilevel"/>
    <w:tmpl w:val="715D3A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0D0B16"/>
    <w:multiLevelType w:val="multilevel"/>
    <w:tmpl w:val="730D0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cs="宋体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177"/>
    <w:rsid w:val="0001304A"/>
    <w:rsid w:val="000232CD"/>
    <w:rsid w:val="000239B9"/>
    <w:rsid w:val="000533B4"/>
    <w:rsid w:val="0007093E"/>
    <w:rsid w:val="000A54C9"/>
    <w:rsid w:val="000C356C"/>
    <w:rsid w:val="00101E1A"/>
    <w:rsid w:val="001F43CD"/>
    <w:rsid w:val="00201F3B"/>
    <w:rsid w:val="00213CE9"/>
    <w:rsid w:val="00243FDE"/>
    <w:rsid w:val="002963B7"/>
    <w:rsid w:val="002B680B"/>
    <w:rsid w:val="002D4CA0"/>
    <w:rsid w:val="003546A7"/>
    <w:rsid w:val="003854A0"/>
    <w:rsid w:val="00390AED"/>
    <w:rsid w:val="003B1495"/>
    <w:rsid w:val="003F0045"/>
    <w:rsid w:val="00497003"/>
    <w:rsid w:val="004B4DD4"/>
    <w:rsid w:val="004C7086"/>
    <w:rsid w:val="00544DF5"/>
    <w:rsid w:val="005629E9"/>
    <w:rsid w:val="00576683"/>
    <w:rsid w:val="00615326"/>
    <w:rsid w:val="00636402"/>
    <w:rsid w:val="00651E21"/>
    <w:rsid w:val="00687B1D"/>
    <w:rsid w:val="00694DBB"/>
    <w:rsid w:val="006A4AF5"/>
    <w:rsid w:val="006B6454"/>
    <w:rsid w:val="006D11A1"/>
    <w:rsid w:val="00797ECE"/>
    <w:rsid w:val="007B4501"/>
    <w:rsid w:val="007D6B3C"/>
    <w:rsid w:val="00836FE3"/>
    <w:rsid w:val="00851FBF"/>
    <w:rsid w:val="00870128"/>
    <w:rsid w:val="00871F0A"/>
    <w:rsid w:val="00872D19"/>
    <w:rsid w:val="00881F7F"/>
    <w:rsid w:val="008B7604"/>
    <w:rsid w:val="009547CA"/>
    <w:rsid w:val="009A43D5"/>
    <w:rsid w:val="009D1D9C"/>
    <w:rsid w:val="009E36C1"/>
    <w:rsid w:val="00A23955"/>
    <w:rsid w:val="00A33993"/>
    <w:rsid w:val="00A76C2F"/>
    <w:rsid w:val="00A817F3"/>
    <w:rsid w:val="00AB0C3A"/>
    <w:rsid w:val="00B2524B"/>
    <w:rsid w:val="00B44A6F"/>
    <w:rsid w:val="00B57534"/>
    <w:rsid w:val="00B71A59"/>
    <w:rsid w:val="00BE2402"/>
    <w:rsid w:val="00C31B78"/>
    <w:rsid w:val="00C52F73"/>
    <w:rsid w:val="00CE0DBB"/>
    <w:rsid w:val="00CE0EFF"/>
    <w:rsid w:val="00CE1F46"/>
    <w:rsid w:val="00D47B49"/>
    <w:rsid w:val="00D86F32"/>
    <w:rsid w:val="00D92F5E"/>
    <w:rsid w:val="00DC31C3"/>
    <w:rsid w:val="00DD7364"/>
    <w:rsid w:val="00DF2076"/>
    <w:rsid w:val="00E15842"/>
    <w:rsid w:val="00E4176B"/>
    <w:rsid w:val="00E7632C"/>
    <w:rsid w:val="00EB0396"/>
    <w:rsid w:val="00EB7291"/>
    <w:rsid w:val="00EC02E1"/>
    <w:rsid w:val="00ED0B98"/>
    <w:rsid w:val="00EF2177"/>
    <w:rsid w:val="00F01E01"/>
    <w:rsid w:val="00F172BD"/>
    <w:rsid w:val="00F46453"/>
    <w:rsid w:val="00F7019A"/>
    <w:rsid w:val="00F7489B"/>
    <w:rsid w:val="00F76814"/>
    <w:rsid w:val="00FE4196"/>
    <w:rsid w:val="290C6A1C"/>
    <w:rsid w:val="2EDD5D6B"/>
    <w:rsid w:val="3C6A105B"/>
    <w:rsid w:val="643562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F6D17-AA4A-4317-99E0-7A16CD67E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1000</Characters>
  <Lines>8</Lines>
  <Paragraphs>2</Paragraphs>
  <ScaleCrop>false</ScaleCrop>
  <LinksUpToDate>false</LinksUpToDate>
  <CharactersWithSpaces>1173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2016-05-18T08:21:00Z</dcterms:created>
  <dc:creator>lenovo</dc:creator>
  <cp:lastModifiedBy>lenovo</cp:lastModifiedBy>
  <cp:lastPrinted>2016-08-29T03:59:00Z</cp:lastPrinted>
  <dcterms:modified xsi:type="dcterms:W3CDTF">2016-09-28T02:25:23Z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