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成都中医药大学2017年冬衣资助名额分配表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6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74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学院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贫困生库人数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名额分配（人）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针推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563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临床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1153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药学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1258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287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二临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1229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医技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1037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管理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763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护理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1256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体育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655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外语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259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公卫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449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医信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296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养康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277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眼科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50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合计</w:t>
            </w:r>
          </w:p>
        </w:tc>
        <w:tc>
          <w:tcPr>
            <w:tcW w:w="287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9532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476</w:t>
            </w:r>
          </w:p>
        </w:tc>
      </w:tr>
    </w:tbl>
    <w:p>
      <w:pPr>
        <w:rPr>
          <w:szCs w:val="21"/>
        </w:rPr>
      </w:pPr>
      <w:r>
        <w:rPr>
          <w:rFonts w:hint="eastAsia"/>
          <w:sz w:val="24"/>
        </w:rPr>
        <w:t>说明：贫困生统计数据以学校学工网贫困生库为依据。</w:t>
      </w:r>
    </w:p>
    <w:p>
      <w:pPr>
        <w:rPr>
          <w:rFonts w:hint="eastAsia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698" w:bottom="1928" w:left="1588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5133"/>
    <w:rsid w:val="4A565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2017-11-07T09:11:00Z</dcterms:created>
  <dc:creator>123</dc:creator>
  <cp:lastModifiedBy>123</cp:lastModifiedBy>
  <dcterms:modified xsi:type="dcterms:W3CDTF">2017-11-07T09:14:21Z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